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BD" w:rsidRPr="001F02BD" w:rsidRDefault="001F02BD" w:rsidP="001F02BD">
      <w:pPr>
        <w:spacing w:after="17" w:line="259" w:lineRule="auto"/>
        <w:ind w:left="0" w:firstLine="0"/>
        <w:jc w:val="center"/>
        <w:rPr>
          <w:rFonts w:ascii="Calibri" w:hAnsi="Calibri" w:cs="Calibri"/>
          <w:sz w:val="40"/>
          <w:szCs w:val="40"/>
        </w:rPr>
      </w:pPr>
      <w:r w:rsidRPr="001F02BD">
        <w:rPr>
          <w:rFonts w:ascii="Calibri" w:hAnsi="Calibri" w:cs="Calibri"/>
          <w:b/>
          <w:i w:val="0"/>
          <w:sz w:val="40"/>
          <w:szCs w:val="40"/>
        </w:rPr>
        <w:t>KARTA INFORMACYJNA PORADNICTWA</w:t>
      </w:r>
    </w:p>
    <w:p w:rsidR="001F02BD" w:rsidRPr="001F02BD" w:rsidRDefault="001F02BD" w:rsidP="001F02BD">
      <w:pPr>
        <w:spacing w:after="170" w:line="259" w:lineRule="auto"/>
        <w:ind w:left="40" w:firstLine="0"/>
        <w:jc w:val="center"/>
        <w:rPr>
          <w:rFonts w:ascii="Calibri" w:hAnsi="Calibri" w:cs="Calibri"/>
          <w:b/>
          <w:i w:val="0"/>
          <w:color w:val="FF0000"/>
          <w:sz w:val="32"/>
          <w:szCs w:val="32"/>
        </w:rPr>
      </w:pPr>
      <w:r w:rsidRPr="001F02BD">
        <w:rPr>
          <w:rFonts w:ascii="Calibri" w:hAnsi="Calibri" w:cs="Calibri"/>
          <w:b/>
          <w:i w:val="0"/>
          <w:color w:val="FF0000"/>
          <w:sz w:val="32"/>
          <w:szCs w:val="32"/>
        </w:rPr>
        <w:t>NIEODPŁATNA POMOC PRAWNA</w:t>
      </w:r>
    </w:p>
    <w:p w:rsidR="001F02BD" w:rsidRPr="001F02BD" w:rsidRDefault="001F02BD" w:rsidP="001F02BD">
      <w:pPr>
        <w:spacing w:after="176" w:line="259" w:lineRule="auto"/>
        <w:ind w:left="40" w:firstLine="0"/>
        <w:jc w:val="left"/>
        <w:rPr>
          <w:rFonts w:ascii="Calibri" w:hAnsi="Calibri" w:cs="Calibri"/>
          <w:i w:val="0"/>
          <w:sz w:val="20"/>
        </w:rPr>
      </w:pPr>
    </w:p>
    <w:tbl>
      <w:tblPr>
        <w:tblStyle w:val="Tabela-Siatka"/>
        <w:tblW w:w="9878" w:type="dxa"/>
        <w:tblInd w:w="40" w:type="dxa"/>
        <w:tblLook w:val="04A0" w:firstRow="1" w:lastRow="0" w:firstColumn="1" w:lastColumn="0" w:noHBand="0" w:noVBand="1"/>
      </w:tblPr>
      <w:tblGrid>
        <w:gridCol w:w="2932"/>
        <w:gridCol w:w="6946"/>
      </w:tblGrid>
      <w:tr w:rsidR="001F02BD" w:rsidRPr="001F02BD" w:rsidTr="00E42B9F">
        <w:trPr>
          <w:trHeight w:val="6313"/>
        </w:trPr>
        <w:tc>
          <w:tcPr>
            <w:tcW w:w="2932" w:type="dxa"/>
          </w:tcPr>
          <w:p w:rsidR="001F02BD" w:rsidRPr="001F02BD" w:rsidRDefault="001F02BD" w:rsidP="001F02BD">
            <w:pPr>
              <w:spacing w:after="176" w:line="259" w:lineRule="auto"/>
              <w:ind w:left="0" w:firstLine="0"/>
              <w:jc w:val="left"/>
              <w:rPr>
                <w:rFonts w:ascii="Calibri" w:hAnsi="Calibri" w:cs="Calibri"/>
                <w:b/>
                <w:i w:val="0"/>
                <w:color w:val="C00000"/>
                <w:sz w:val="28"/>
              </w:rPr>
            </w:pPr>
          </w:p>
          <w:p w:rsidR="001F02BD" w:rsidRPr="001F02BD" w:rsidRDefault="001F02BD" w:rsidP="001F02BD">
            <w:pPr>
              <w:spacing w:after="176" w:line="259" w:lineRule="auto"/>
              <w:ind w:left="0" w:firstLine="0"/>
              <w:jc w:val="left"/>
              <w:rPr>
                <w:rFonts w:ascii="Calibri" w:hAnsi="Calibri" w:cs="Calibri"/>
                <w:b/>
                <w:i w:val="0"/>
                <w:color w:val="C00000"/>
                <w:sz w:val="28"/>
              </w:rPr>
            </w:pPr>
          </w:p>
          <w:p w:rsidR="001F02BD" w:rsidRPr="001F02BD" w:rsidRDefault="001F02BD" w:rsidP="001F02BD">
            <w:pPr>
              <w:spacing w:after="176" w:line="259" w:lineRule="auto"/>
              <w:ind w:left="0" w:firstLine="0"/>
              <w:jc w:val="left"/>
              <w:rPr>
                <w:rFonts w:ascii="Calibri" w:hAnsi="Calibri" w:cs="Calibri"/>
                <w:b/>
                <w:i w:val="0"/>
                <w:color w:val="C00000"/>
                <w:sz w:val="28"/>
              </w:rPr>
            </w:pPr>
          </w:p>
          <w:p w:rsidR="001F02BD" w:rsidRPr="001F02BD" w:rsidRDefault="001F02BD" w:rsidP="001F02BD">
            <w:pPr>
              <w:spacing w:after="176" w:line="259" w:lineRule="auto"/>
              <w:ind w:left="0" w:firstLine="0"/>
              <w:jc w:val="left"/>
              <w:rPr>
                <w:rFonts w:ascii="Calibri" w:hAnsi="Calibri" w:cs="Calibri"/>
                <w:b/>
                <w:i w:val="0"/>
                <w:color w:val="C00000"/>
                <w:sz w:val="28"/>
              </w:rPr>
            </w:pPr>
          </w:p>
          <w:p w:rsidR="001F02BD" w:rsidRPr="001F02BD" w:rsidRDefault="001F02BD" w:rsidP="001F02BD">
            <w:pPr>
              <w:spacing w:after="176" w:line="259" w:lineRule="auto"/>
              <w:ind w:left="0" w:firstLine="0"/>
              <w:jc w:val="left"/>
              <w:rPr>
                <w:rFonts w:ascii="Calibri" w:hAnsi="Calibri" w:cs="Calibri"/>
                <w:b/>
                <w:i w:val="0"/>
                <w:color w:val="C00000"/>
                <w:sz w:val="28"/>
              </w:rPr>
            </w:pPr>
          </w:p>
          <w:p w:rsidR="001F02BD" w:rsidRPr="001F02BD" w:rsidRDefault="001F02BD" w:rsidP="001F02BD">
            <w:pPr>
              <w:spacing w:after="176" w:line="259" w:lineRule="auto"/>
              <w:ind w:left="0" w:firstLine="0"/>
              <w:jc w:val="left"/>
              <w:rPr>
                <w:rFonts w:ascii="Calibri" w:hAnsi="Calibri" w:cs="Calibri"/>
                <w:b/>
                <w:i w:val="0"/>
                <w:color w:val="C00000"/>
                <w:sz w:val="28"/>
              </w:rPr>
            </w:pPr>
          </w:p>
          <w:p w:rsidR="001F02BD" w:rsidRPr="001F02BD" w:rsidRDefault="001F02BD" w:rsidP="001F02BD">
            <w:pPr>
              <w:spacing w:after="176" w:line="259" w:lineRule="auto"/>
              <w:ind w:left="0" w:firstLine="0"/>
              <w:jc w:val="left"/>
              <w:rPr>
                <w:rFonts w:ascii="Calibri" w:hAnsi="Calibri" w:cs="Calibri"/>
                <w:i w:val="0"/>
                <w:sz w:val="20"/>
              </w:rPr>
            </w:pPr>
            <w:r w:rsidRPr="001F02BD">
              <w:rPr>
                <w:rFonts w:ascii="Calibri" w:hAnsi="Calibri" w:cs="Calibri"/>
                <w:b/>
                <w:i w:val="0"/>
                <w:color w:val="C00000"/>
                <w:sz w:val="28"/>
              </w:rPr>
              <w:t>Opis usługi</w:t>
            </w:r>
          </w:p>
        </w:tc>
        <w:tc>
          <w:tcPr>
            <w:tcW w:w="6946" w:type="dxa"/>
          </w:tcPr>
          <w:p w:rsidR="001F02BD" w:rsidRPr="001F02BD" w:rsidRDefault="001F02BD" w:rsidP="001F02BD">
            <w:pPr>
              <w:spacing w:after="112"/>
              <w:ind w:left="2153" w:hanging="2214"/>
              <w:jc w:val="left"/>
              <w:rPr>
                <w:rFonts w:ascii="Calibri" w:hAnsi="Calibri" w:cs="Calibri"/>
              </w:rPr>
            </w:pPr>
            <w:r w:rsidRPr="001F02BD">
              <w:rPr>
                <w:rFonts w:ascii="Calibri" w:hAnsi="Calibri" w:cs="Calibri"/>
              </w:rPr>
              <w:t xml:space="preserve">Nieodpłatna pomoc prawna obejmuje:  </w:t>
            </w:r>
          </w:p>
          <w:p w:rsidR="001F02BD" w:rsidRPr="001F02BD" w:rsidRDefault="001F02BD" w:rsidP="001F02BD">
            <w:pPr>
              <w:numPr>
                <w:ilvl w:val="0"/>
                <w:numId w:val="1"/>
              </w:numPr>
              <w:tabs>
                <w:tab w:val="left" w:pos="406"/>
                <w:tab w:val="left" w:pos="781"/>
                <w:tab w:val="left" w:pos="961"/>
              </w:tabs>
              <w:spacing w:after="0"/>
              <w:ind w:left="172" w:hanging="142"/>
              <w:jc w:val="left"/>
              <w:rPr>
                <w:rFonts w:ascii="Calibri" w:hAnsi="Calibri" w:cs="Calibri"/>
              </w:rPr>
            </w:pPr>
            <w:r w:rsidRPr="001F02BD">
              <w:rPr>
                <w:rFonts w:ascii="Calibri" w:hAnsi="Calibri" w:cs="Calibri"/>
              </w:rPr>
              <w:t xml:space="preserve">poinformowanie o obowiązującym stanie prawnym  oraz                            o przysługujących prawach i obowiązkach, w tym  w związku z toczącym się postępowaniem przygotowawczym, administracyjnym, sądowym lub </w:t>
            </w:r>
            <w:proofErr w:type="spellStart"/>
            <w:r w:rsidRPr="001F02BD">
              <w:rPr>
                <w:rFonts w:ascii="Calibri" w:hAnsi="Calibri" w:cs="Calibri"/>
              </w:rPr>
              <w:t>sądowoadministracyjnym</w:t>
            </w:r>
            <w:proofErr w:type="spellEnd"/>
            <w:r w:rsidRPr="001F02BD">
              <w:rPr>
                <w:rFonts w:ascii="Calibri" w:hAnsi="Calibri" w:cs="Calibri"/>
              </w:rPr>
              <w:t>,</w:t>
            </w:r>
          </w:p>
          <w:p w:rsidR="001F02BD" w:rsidRPr="001F02BD" w:rsidRDefault="001F02BD" w:rsidP="001F02BD">
            <w:pPr>
              <w:tabs>
                <w:tab w:val="left" w:pos="406"/>
                <w:tab w:val="left" w:pos="781"/>
                <w:tab w:val="left" w:pos="961"/>
              </w:tabs>
              <w:spacing w:after="0"/>
              <w:ind w:left="172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  <w:p w:rsidR="001F02BD" w:rsidRPr="001F02BD" w:rsidRDefault="001F02BD" w:rsidP="001F02BD">
            <w:pPr>
              <w:numPr>
                <w:ilvl w:val="0"/>
                <w:numId w:val="1"/>
              </w:numPr>
              <w:tabs>
                <w:tab w:val="left" w:pos="172"/>
                <w:tab w:val="left" w:pos="601"/>
                <w:tab w:val="left" w:pos="781"/>
                <w:tab w:val="left" w:pos="961"/>
              </w:tabs>
              <w:spacing w:after="0"/>
              <w:ind w:left="30" w:firstLine="0"/>
              <w:jc w:val="left"/>
              <w:rPr>
                <w:rFonts w:ascii="Calibri" w:hAnsi="Calibri" w:cs="Calibri"/>
              </w:rPr>
            </w:pPr>
            <w:r w:rsidRPr="001F02BD">
              <w:rPr>
                <w:rFonts w:ascii="Calibri" w:hAnsi="Calibri" w:cs="Calibri"/>
              </w:rPr>
              <w:t xml:space="preserve">wskazanie sposobu rozwiązania problemu prawnego, </w:t>
            </w:r>
          </w:p>
          <w:p w:rsidR="001F02BD" w:rsidRPr="001F02BD" w:rsidRDefault="001F02BD" w:rsidP="001F02BD">
            <w:pPr>
              <w:tabs>
                <w:tab w:val="left" w:pos="172"/>
                <w:tab w:val="left" w:pos="601"/>
                <w:tab w:val="left" w:pos="781"/>
                <w:tab w:val="left" w:pos="961"/>
              </w:tabs>
              <w:spacing w:after="0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  <w:p w:rsidR="001F02BD" w:rsidRPr="001F02BD" w:rsidRDefault="001F02BD" w:rsidP="001F02BD">
            <w:pPr>
              <w:numPr>
                <w:ilvl w:val="0"/>
                <w:numId w:val="1"/>
              </w:numPr>
              <w:spacing w:after="0" w:line="263" w:lineRule="auto"/>
              <w:ind w:left="172" w:hanging="142"/>
              <w:jc w:val="left"/>
              <w:rPr>
                <w:rFonts w:ascii="Calibri" w:hAnsi="Calibri" w:cs="Calibri"/>
              </w:rPr>
            </w:pPr>
            <w:r w:rsidRPr="001F02BD">
              <w:rPr>
                <w:rFonts w:ascii="Calibri" w:hAnsi="Calibri" w:cs="Calibri"/>
              </w:rPr>
              <w:t xml:space="preserve">przygotowanie projektu pisma w tych sprawach, z wyłączeniem pism procesowych w toczącym się postępowaniu przygotowawczym lub sądowym i pism w toczącym się postępowaniu </w:t>
            </w:r>
            <w:proofErr w:type="spellStart"/>
            <w:r w:rsidRPr="001F02BD">
              <w:rPr>
                <w:rFonts w:ascii="Calibri" w:hAnsi="Calibri" w:cs="Calibri"/>
              </w:rPr>
              <w:t>sądowoadministracyjnym</w:t>
            </w:r>
            <w:proofErr w:type="spellEnd"/>
            <w:r w:rsidRPr="001F02BD">
              <w:rPr>
                <w:rFonts w:ascii="Calibri" w:hAnsi="Calibri" w:cs="Calibri"/>
              </w:rPr>
              <w:t xml:space="preserve">, </w:t>
            </w:r>
          </w:p>
          <w:p w:rsidR="001F02BD" w:rsidRPr="001F02BD" w:rsidRDefault="001F02BD" w:rsidP="001F02BD">
            <w:pPr>
              <w:spacing w:after="0" w:line="263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F02BD">
              <w:rPr>
                <w:rFonts w:ascii="Calibri" w:hAnsi="Calibri" w:cs="Calibri"/>
              </w:rPr>
              <w:t xml:space="preserve"> </w:t>
            </w:r>
          </w:p>
          <w:p w:rsidR="001F02BD" w:rsidRPr="001F02BD" w:rsidRDefault="001F02BD" w:rsidP="001F02BD">
            <w:pPr>
              <w:numPr>
                <w:ilvl w:val="0"/>
                <w:numId w:val="1"/>
              </w:numPr>
              <w:spacing w:after="0"/>
              <w:ind w:left="172" w:hanging="142"/>
              <w:jc w:val="left"/>
              <w:rPr>
                <w:rFonts w:ascii="Calibri" w:hAnsi="Calibri" w:cs="Calibri"/>
              </w:rPr>
            </w:pPr>
            <w:r w:rsidRPr="001F02BD">
              <w:rPr>
                <w:rFonts w:ascii="Calibri" w:hAnsi="Calibri" w:cs="Calibri"/>
              </w:rPr>
              <w:t xml:space="preserve">sporządzenie projektu pisma o zwolnienie od kosztów sądowych lub ustanowienie pełnomocnika z urzędu w różnych rodzajach postępowań, </w:t>
            </w:r>
          </w:p>
          <w:p w:rsidR="001F02BD" w:rsidRPr="001F02BD" w:rsidRDefault="001F02BD" w:rsidP="001F02BD">
            <w:pPr>
              <w:spacing w:after="0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  <w:p w:rsidR="001F02BD" w:rsidRPr="001F02BD" w:rsidRDefault="001F02BD" w:rsidP="001F02BD">
            <w:pPr>
              <w:numPr>
                <w:ilvl w:val="0"/>
                <w:numId w:val="1"/>
              </w:numPr>
              <w:tabs>
                <w:tab w:val="left" w:pos="172"/>
                <w:tab w:val="left" w:pos="781"/>
                <w:tab w:val="left" w:pos="961"/>
              </w:tabs>
              <w:spacing w:after="0"/>
              <w:ind w:left="30" w:firstLine="0"/>
              <w:jc w:val="left"/>
              <w:rPr>
                <w:rFonts w:ascii="Calibri" w:hAnsi="Calibri" w:cs="Calibri"/>
              </w:rPr>
            </w:pPr>
            <w:r w:rsidRPr="001F02BD">
              <w:rPr>
                <w:rFonts w:ascii="Calibri" w:hAnsi="Calibri" w:cs="Calibri"/>
              </w:rPr>
              <w:t xml:space="preserve">nieodpłatna pomoc prawna nie obejmuje spraw związanych                  z prowadzeniem działalności gospodarczej, z wyjątkiem przygotowania do rozpoczęcia tej działalności.  </w:t>
            </w:r>
          </w:p>
          <w:p w:rsidR="001F02BD" w:rsidRPr="001F02BD" w:rsidRDefault="001F02BD" w:rsidP="001F02BD">
            <w:pPr>
              <w:tabs>
                <w:tab w:val="left" w:pos="781"/>
              </w:tabs>
              <w:spacing w:after="176" w:line="259" w:lineRule="auto"/>
              <w:ind w:left="0" w:hanging="2214"/>
              <w:jc w:val="left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1F02BD">
              <w:rPr>
                <w:rFonts w:ascii="Calibri" w:hAnsi="Calibri" w:cs="Calibri"/>
                <w:i w:val="0"/>
                <w:sz w:val="20"/>
              </w:rPr>
              <w:tab/>
            </w:r>
            <w:r w:rsidRPr="001F02BD">
              <w:rPr>
                <w:rFonts w:ascii="Calibri" w:hAnsi="Calibri" w:cs="Calibri"/>
                <w:i w:val="0"/>
                <w:sz w:val="20"/>
              </w:rPr>
              <w:tab/>
            </w:r>
          </w:p>
        </w:tc>
      </w:tr>
      <w:tr w:rsidR="001F02BD" w:rsidRPr="001F02BD" w:rsidTr="00E42B9F">
        <w:tc>
          <w:tcPr>
            <w:tcW w:w="2932" w:type="dxa"/>
          </w:tcPr>
          <w:p w:rsidR="001F02BD" w:rsidRPr="001F02BD" w:rsidRDefault="001F02BD" w:rsidP="001F02BD">
            <w:pPr>
              <w:spacing w:after="176" w:line="259" w:lineRule="auto"/>
              <w:ind w:left="0" w:firstLine="0"/>
              <w:jc w:val="left"/>
              <w:rPr>
                <w:rFonts w:ascii="Calibri" w:hAnsi="Calibri" w:cs="Calibri"/>
                <w:i w:val="0"/>
                <w:sz w:val="20"/>
              </w:rPr>
            </w:pPr>
            <w:r w:rsidRPr="001F02BD">
              <w:rPr>
                <w:rFonts w:ascii="Calibri" w:hAnsi="Calibri" w:cs="Calibri"/>
                <w:b/>
                <w:i w:val="0"/>
                <w:color w:val="C00000"/>
                <w:sz w:val="28"/>
              </w:rPr>
              <w:t>Kto może skorzystać</w:t>
            </w:r>
          </w:p>
        </w:tc>
        <w:tc>
          <w:tcPr>
            <w:tcW w:w="6946" w:type="dxa"/>
          </w:tcPr>
          <w:p w:rsidR="001F02BD" w:rsidRPr="001F02BD" w:rsidRDefault="001F02BD" w:rsidP="001F02BD">
            <w:pPr>
              <w:spacing w:after="274"/>
              <w:ind w:left="10"/>
              <w:jc w:val="left"/>
              <w:rPr>
                <w:rFonts w:ascii="Calibri" w:hAnsi="Calibri" w:cs="Calibri"/>
              </w:rPr>
            </w:pPr>
            <w:r w:rsidRPr="001F02BD">
              <w:rPr>
                <w:rFonts w:ascii="Calibri" w:hAnsi="Calibri" w:cs="Calibri"/>
              </w:rPr>
              <w:t xml:space="preserve">Z porad może skorzystać każda osoba, </w:t>
            </w:r>
            <w:r w:rsidRPr="001F02BD">
              <w:rPr>
                <w:rFonts w:ascii="Calibri" w:hAnsi="Calibri" w:cs="Calibri"/>
                <w:u w:val="single"/>
              </w:rPr>
              <w:t>której nie stać na odpłatne</w:t>
            </w:r>
            <w:r w:rsidRPr="001F02BD">
              <w:rPr>
                <w:rFonts w:ascii="Calibri" w:hAnsi="Calibri" w:cs="Calibri"/>
                <w:i w:val="0"/>
                <w:sz w:val="28"/>
                <w:u w:val="single"/>
              </w:rPr>
              <w:t xml:space="preserve"> </w:t>
            </w:r>
            <w:r w:rsidRPr="001F02BD">
              <w:rPr>
                <w:rFonts w:ascii="Calibri" w:hAnsi="Calibri" w:cs="Calibri"/>
                <w:u w:val="single"/>
              </w:rPr>
              <w:t>porady i która złoży stosowne oświadczenie.</w:t>
            </w:r>
          </w:p>
        </w:tc>
      </w:tr>
      <w:tr w:rsidR="001F02BD" w:rsidRPr="001F02BD" w:rsidTr="00E42B9F">
        <w:tc>
          <w:tcPr>
            <w:tcW w:w="2932" w:type="dxa"/>
          </w:tcPr>
          <w:p w:rsidR="001F02BD" w:rsidRPr="001F02BD" w:rsidRDefault="001F02BD" w:rsidP="001F02BD">
            <w:pPr>
              <w:spacing w:after="176" w:line="259" w:lineRule="auto"/>
              <w:ind w:left="0" w:firstLine="0"/>
              <w:jc w:val="left"/>
              <w:rPr>
                <w:rFonts w:ascii="Calibri" w:hAnsi="Calibri" w:cs="Calibri"/>
                <w:i w:val="0"/>
                <w:sz w:val="20"/>
              </w:rPr>
            </w:pPr>
            <w:r w:rsidRPr="001F02BD">
              <w:rPr>
                <w:rFonts w:ascii="Calibri" w:hAnsi="Calibri" w:cs="Calibri"/>
                <w:b/>
                <w:i w:val="0"/>
                <w:color w:val="C00000"/>
                <w:sz w:val="28"/>
              </w:rPr>
              <w:t>Forma zapisu</w:t>
            </w:r>
          </w:p>
        </w:tc>
        <w:tc>
          <w:tcPr>
            <w:tcW w:w="6946" w:type="dxa"/>
          </w:tcPr>
          <w:p w:rsidR="001F02BD" w:rsidRPr="001F02BD" w:rsidRDefault="001F02BD" w:rsidP="001F02BD">
            <w:pPr>
              <w:tabs>
                <w:tab w:val="center" w:pos="4974"/>
              </w:tabs>
              <w:spacing w:after="10"/>
              <w:ind w:left="0" w:firstLine="0"/>
              <w:jc w:val="left"/>
              <w:rPr>
                <w:rFonts w:ascii="Calibri" w:hAnsi="Calibri" w:cs="Calibri"/>
              </w:rPr>
            </w:pPr>
            <w:r w:rsidRPr="001F02BD">
              <w:rPr>
                <w:rFonts w:ascii="Calibri" w:hAnsi="Calibri" w:cs="Calibri"/>
              </w:rPr>
              <w:t xml:space="preserve">Termin wizyty ustalany jest: </w:t>
            </w:r>
          </w:p>
          <w:p w:rsidR="001F02BD" w:rsidRPr="001F02BD" w:rsidRDefault="001F02BD" w:rsidP="001F02BD">
            <w:pPr>
              <w:pStyle w:val="Akapitzlist"/>
              <w:numPr>
                <w:ilvl w:val="0"/>
                <w:numId w:val="2"/>
              </w:numPr>
              <w:tabs>
                <w:tab w:val="center" w:pos="4974"/>
              </w:tabs>
              <w:spacing w:after="10"/>
              <w:ind w:left="172" w:hanging="142"/>
              <w:jc w:val="left"/>
              <w:rPr>
                <w:rFonts w:ascii="Calibri" w:hAnsi="Calibri" w:cs="Calibri"/>
              </w:rPr>
            </w:pPr>
            <w:r w:rsidRPr="001F02BD">
              <w:rPr>
                <w:rFonts w:ascii="Calibri" w:hAnsi="Calibri" w:cs="Calibri"/>
              </w:rPr>
              <w:t xml:space="preserve">online pod adresem: </w:t>
            </w:r>
            <w:hyperlink r:id="rId5" w:history="1">
              <w:r w:rsidRPr="001F02BD">
                <w:rPr>
                  <w:rStyle w:val="Hipercze"/>
                  <w:rFonts w:ascii="Calibri" w:hAnsi="Calibri" w:cs="Calibri"/>
                </w:rPr>
                <w:t>http://np.ms.gov.pl</w:t>
              </w:r>
            </w:hyperlink>
            <w:r w:rsidRPr="001F02BD">
              <w:rPr>
                <w:rFonts w:ascii="Calibri" w:hAnsi="Calibri" w:cs="Calibri"/>
              </w:rPr>
              <w:t xml:space="preserve">, </w:t>
            </w:r>
          </w:p>
          <w:p w:rsidR="001F02BD" w:rsidRPr="001F02BD" w:rsidRDefault="001F02BD" w:rsidP="001F02BD">
            <w:pPr>
              <w:pStyle w:val="Akapitzlist"/>
              <w:numPr>
                <w:ilvl w:val="0"/>
                <w:numId w:val="2"/>
              </w:numPr>
              <w:tabs>
                <w:tab w:val="center" w:pos="4974"/>
              </w:tabs>
              <w:spacing w:after="10"/>
              <w:ind w:left="172" w:hanging="142"/>
              <w:jc w:val="left"/>
              <w:rPr>
                <w:rFonts w:ascii="Calibri" w:hAnsi="Calibri" w:cs="Calibri"/>
              </w:rPr>
            </w:pPr>
            <w:r w:rsidRPr="001F02BD">
              <w:rPr>
                <w:rFonts w:ascii="Calibri" w:hAnsi="Calibri" w:cs="Calibri"/>
              </w:rPr>
              <w:t xml:space="preserve">telefonicznie pod nr telefonu   </w:t>
            </w:r>
            <w:r w:rsidRPr="001F02BD">
              <w:rPr>
                <w:rFonts w:ascii="Calibri" w:hAnsi="Calibri" w:cs="Calibri"/>
                <w:b/>
              </w:rPr>
              <w:t>61 29 28 790,</w:t>
            </w:r>
          </w:p>
          <w:p w:rsidR="001F02BD" w:rsidRPr="001F02BD" w:rsidRDefault="001F02BD" w:rsidP="001F02BD">
            <w:pPr>
              <w:pStyle w:val="Akapitzlist"/>
              <w:numPr>
                <w:ilvl w:val="0"/>
                <w:numId w:val="2"/>
              </w:numPr>
              <w:tabs>
                <w:tab w:val="center" w:pos="4974"/>
              </w:tabs>
              <w:spacing w:after="10"/>
              <w:ind w:left="172" w:hanging="142"/>
              <w:jc w:val="left"/>
              <w:rPr>
                <w:rFonts w:ascii="Calibri" w:hAnsi="Calibri" w:cs="Calibri"/>
              </w:rPr>
            </w:pPr>
            <w:r w:rsidRPr="001F02BD">
              <w:rPr>
                <w:rFonts w:ascii="Calibri" w:hAnsi="Calibri" w:cs="Calibri"/>
              </w:rPr>
              <w:t xml:space="preserve">elektronicznie pod adresem </w:t>
            </w:r>
            <w:hyperlink r:id="rId6" w:history="1">
              <w:r w:rsidRPr="001F02BD">
                <w:rPr>
                  <w:rStyle w:val="Hipercze"/>
                  <w:rFonts w:ascii="Calibri" w:hAnsi="Calibri" w:cs="Calibri"/>
                </w:rPr>
                <w:t>pomocprawna@szamotuly.com.pl</w:t>
              </w:r>
            </w:hyperlink>
          </w:p>
          <w:p w:rsidR="001F02BD" w:rsidRPr="001F02BD" w:rsidRDefault="001F02BD" w:rsidP="001F02BD">
            <w:pPr>
              <w:spacing w:after="0" w:line="259" w:lineRule="auto"/>
              <w:ind w:hanging="2133"/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1F02BD" w:rsidRPr="001F02BD" w:rsidTr="00E42B9F">
        <w:tc>
          <w:tcPr>
            <w:tcW w:w="2932" w:type="dxa"/>
          </w:tcPr>
          <w:p w:rsidR="001F02BD" w:rsidRPr="001F02BD" w:rsidRDefault="001F02BD" w:rsidP="001F02BD">
            <w:pPr>
              <w:spacing w:after="176" w:line="259" w:lineRule="auto"/>
              <w:ind w:left="0" w:firstLine="0"/>
              <w:jc w:val="left"/>
              <w:rPr>
                <w:rFonts w:ascii="Calibri" w:hAnsi="Calibri" w:cs="Calibri"/>
                <w:i w:val="0"/>
                <w:sz w:val="20"/>
              </w:rPr>
            </w:pPr>
            <w:r w:rsidRPr="001F02BD">
              <w:rPr>
                <w:rFonts w:ascii="Calibri" w:hAnsi="Calibri" w:cs="Calibri"/>
                <w:b/>
                <w:i w:val="0"/>
                <w:color w:val="C00000"/>
                <w:sz w:val="28"/>
              </w:rPr>
              <w:t>Inne informacje</w:t>
            </w:r>
          </w:p>
        </w:tc>
        <w:tc>
          <w:tcPr>
            <w:tcW w:w="6946" w:type="dxa"/>
          </w:tcPr>
          <w:p w:rsidR="001F02BD" w:rsidRPr="001F02BD" w:rsidRDefault="001F02BD" w:rsidP="001F02BD">
            <w:pPr>
              <w:spacing w:after="39"/>
              <w:ind w:left="10"/>
              <w:jc w:val="left"/>
              <w:rPr>
                <w:rFonts w:ascii="Calibri" w:hAnsi="Calibri" w:cs="Calibri"/>
              </w:rPr>
            </w:pPr>
            <w:r w:rsidRPr="001F02BD">
              <w:rPr>
                <w:rFonts w:ascii="Calibri" w:hAnsi="Calibri" w:cs="Calibri"/>
              </w:rPr>
              <w:t>Porady co do zasady udzielane są podczas osobistej wizyty                       w punkcie</w:t>
            </w:r>
            <w:r w:rsidRPr="001F02BD">
              <w:rPr>
                <w:rFonts w:ascii="Calibri" w:hAnsi="Calibri" w:cs="Calibri"/>
                <w:i w:val="0"/>
                <w:sz w:val="28"/>
              </w:rPr>
              <w:t xml:space="preserve"> </w:t>
            </w:r>
            <w:r w:rsidRPr="001F02BD">
              <w:rPr>
                <w:rFonts w:ascii="Calibri" w:hAnsi="Calibri" w:cs="Calibri"/>
              </w:rPr>
              <w:t xml:space="preserve">porad prawnych. </w:t>
            </w:r>
          </w:p>
          <w:p w:rsidR="001F02BD" w:rsidRPr="001F02BD" w:rsidRDefault="001F02BD" w:rsidP="001F02BD">
            <w:pPr>
              <w:spacing w:after="270"/>
              <w:ind w:left="30" w:hanging="30"/>
              <w:jc w:val="left"/>
              <w:rPr>
                <w:rFonts w:ascii="Calibri" w:hAnsi="Calibri" w:cs="Calibri"/>
              </w:rPr>
            </w:pPr>
            <w:r w:rsidRPr="001F02BD">
              <w:rPr>
                <w:rFonts w:ascii="Calibri" w:hAnsi="Calibri" w:cs="Calibri"/>
              </w:rPr>
              <w:t xml:space="preserve">Osoby, które ze względu na niepełnosprawność ruchową nie są            w stanie przybyć do punktu lub osoby doświadczające trudności        w komunikowaniu się mogą otrzymać poradę przez telefon lub przez Internet. Bliższe informacje pod numerem podanym </w:t>
            </w:r>
            <w:bookmarkStart w:id="0" w:name="_GoBack"/>
            <w:bookmarkEnd w:id="0"/>
            <w:r w:rsidRPr="001F02BD">
              <w:rPr>
                <w:rFonts w:ascii="Calibri" w:hAnsi="Calibri" w:cs="Calibri"/>
              </w:rPr>
              <w:t xml:space="preserve">do zapisów. </w:t>
            </w:r>
          </w:p>
          <w:p w:rsidR="001F02BD" w:rsidRPr="001F02BD" w:rsidRDefault="001F02BD" w:rsidP="001F02BD">
            <w:pPr>
              <w:spacing w:after="28"/>
              <w:ind w:left="0" w:firstLine="30"/>
              <w:jc w:val="left"/>
              <w:rPr>
                <w:rFonts w:ascii="Calibri" w:hAnsi="Calibri" w:cs="Calibri"/>
              </w:rPr>
            </w:pPr>
            <w:r w:rsidRPr="001F02BD">
              <w:rPr>
                <w:rFonts w:ascii="Calibri" w:hAnsi="Calibri" w:cs="Calibri"/>
              </w:rPr>
              <w:t xml:space="preserve">Każdy przypadek udzielenia nieodpłatnej pomocy prawnej lub świadczenia nieodpłatnego poradnictwa obywatelskiego dokumentuje się przez wypełnienie karty pomocy, która składa się z części A i B. Część B karty pomocy  wypełnia osobiście osoba uprawniona. Wypełnienie części B karty pomocy jest dobrowolne.  </w:t>
            </w:r>
          </w:p>
        </w:tc>
      </w:tr>
    </w:tbl>
    <w:p w:rsidR="005D28A3" w:rsidRPr="001F02BD" w:rsidRDefault="005D28A3" w:rsidP="001F02BD">
      <w:pPr>
        <w:jc w:val="left"/>
        <w:rPr>
          <w:rFonts w:ascii="Calibri" w:hAnsi="Calibri" w:cs="Calibri"/>
        </w:rPr>
      </w:pPr>
    </w:p>
    <w:sectPr w:rsidR="005D28A3" w:rsidRPr="001F02BD" w:rsidSect="001F02BD">
      <w:pgSz w:w="11906" w:h="16838"/>
      <w:pgMar w:top="794" w:right="567" w:bottom="102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C07CE"/>
    <w:multiLevelType w:val="hybridMultilevel"/>
    <w:tmpl w:val="3A1CCDA2"/>
    <w:lvl w:ilvl="0" w:tplc="43047D90">
      <w:start w:val="1"/>
      <w:numFmt w:val="bullet"/>
      <w:lvlText w:val="•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865608">
      <w:start w:val="1"/>
      <w:numFmt w:val="bullet"/>
      <w:lvlText w:val="o"/>
      <w:lvlJc w:val="left"/>
      <w:pPr>
        <w:ind w:left="3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6A9E42">
      <w:start w:val="1"/>
      <w:numFmt w:val="bullet"/>
      <w:lvlText w:val="▪"/>
      <w:lvlJc w:val="left"/>
      <w:pPr>
        <w:ind w:left="39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88083C">
      <w:start w:val="1"/>
      <w:numFmt w:val="bullet"/>
      <w:lvlText w:val="•"/>
      <w:lvlJc w:val="left"/>
      <w:pPr>
        <w:ind w:left="4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E4B03E">
      <w:start w:val="1"/>
      <w:numFmt w:val="bullet"/>
      <w:lvlText w:val="o"/>
      <w:lvlJc w:val="left"/>
      <w:pPr>
        <w:ind w:left="5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246692">
      <w:start w:val="1"/>
      <w:numFmt w:val="bullet"/>
      <w:lvlText w:val="▪"/>
      <w:lvlJc w:val="left"/>
      <w:pPr>
        <w:ind w:left="61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4073A0">
      <w:start w:val="1"/>
      <w:numFmt w:val="bullet"/>
      <w:lvlText w:val="•"/>
      <w:lvlJc w:val="left"/>
      <w:pPr>
        <w:ind w:left="6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7E9844">
      <w:start w:val="1"/>
      <w:numFmt w:val="bullet"/>
      <w:lvlText w:val="o"/>
      <w:lvlJc w:val="left"/>
      <w:pPr>
        <w:ind w:left="7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DE6E32">
      <w:start w:val="1"/>
      <w:numFmt w:val="bullet"/>
      <w:lvlText w:val="▪"/>
      <w:lvlJc w:val="left"/>
      <w:pPr>
        <w:ind w:left="8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555021"/>
    <w:multiLevelType w:val="hybridMultilevel"/>
    <w:tmpl w:val="931AEE9E"/>
    <w:lvl w:ilvl="0" w:tplc="43047D9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BD"/>
    <w:rsid w:val="001F02BD"/>
    <w:rsid w:val="005D28A3"/>
    <w:rsid w:val="00A1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2140D-F30B-43FF-96F5-03812CE1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02BD"/>
    <w:pPr>
      <w:spacing w:after="68" w:line="249" w:lineRule="auto"/>
      <w:ind w:left="2163" w:hanging="10"/>
      <w:jc w:val="both"/>
    </w:pPr>
    <w:rPr>
      <w:rFonts w:ascii="Cambria" w:eastAsia="Cambria" w:hAnsi="Cambria" w:cs="Cambria"/>
      <w:i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1F02BD"/>
    <w:pPr>
      <w:keepNext/>
      <w:keepLines/>
      <w:spacing w:after="0"/>
      <w:ind w:right="2"/>
      <w:jc w:val="center"/>
      <w:outlineLvl w:val="0"/>
    </w:pPr>
    <w:rPr>
      <w:rFonts w:ascii="Cambria" w:eastAsia="Cambria" w:hAnsi="Cambria" w:cs="Cambria"/>
      <w:b/>
      <w:color w:val="C00000"/>
      <w:sz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02BD"/>
    <w:rPr>
      <w:rFonts w:ascii="Cambria" w:eastAsia="Cambria" w:hAnsi="Cambria" w:cs="Cambria"/>
      <w:b/>
      <w:color w:val="C00000"/>
      <w:sz w:val="40"/>
      <w:lang w:eastAsia="pl-PL"/>
    </w:rPr>
  </w:style>
  <w:style w:type="table" w:styleId="Tabela-Siatka">
    <w:name w:val="Table Grid"/>
    <w:basedOn w:val="Standardowy"/>
    <w:uiPriority w:val="39"/>
    <w:rsid w:val="001F02B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02B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F02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mocprawna@szamotuly.com.pl" TargetMode="External"/><Relationship Id="rId5" Type="http://schemas.openxmlformats.org/officeDocument/2006/relationships/hyperlink" Target="http://np.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Szabowska</dc:creator>
  <cp:keywords/>
  <dc:description/>
  <cp:lastModifiedBy>Halina Szabowska</cp:lastModifiedBy>
  <cp:revision>1</cp:revision>
  <dcterms:created xsi:type="dcterms:W3CDTF">2022-03-01T19:50:00Z</dcterms:created>
  <dcterms:modified xsi:type="dcterms:W3CDTF">2022-03-01T19:54:00Z</dcterms:modified>
</cp:coreProperties>
</file>